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DF77D" w14:textId="175CA827" w:rsidR="00FF111E" w:rsidRDefault="00FF111E" w:rsidP="00FF111E">
      <w:pPr>
        <w:rPr>
          <w:rFonts w:ascii="Trebuchet MS" w:hAnsi="Trebuchet MS" w:cs="Arial"/>
          <w:bCs/>
          <w:color w:val="333333"/>
        </w:rPr>
      </w:pPr>
      <w:proofErr w:type="spellStart"/>
      <w:r w:rsidRPr="00BF7A30">
        <w:rPr>
          <w:rFonts w:ascii="Trebuchet MS" w:hAnsi="Trebuchet MS" w:cs="Arial"/>
          <w:bCs/>
          <w:i/>
          <w:color w:val="333333"/>
        </w:rPr>
        <w:t>Anexa</w:t>
      </w:r>
      <w:proofErr w:type="spellEnd"/>
      <w:r w:rsidRPr="00BF7A30">
        <w:rPr>
          <w:rFonts w:ascii="Trebuchet MS" w:hAnsi="Trebuchet MS" w:cs="Arial"/>
          <w:bCs/>
          <w:i/>
          <w:color w:val="333333"/>
        </w:rPr>
        <w:t xml:space="preserve"> </w:t>
      </w:r>
      <w:r w:rsidRPr="00D53EAB">
        <w:rPr>
          <w:rFonts w:ascii="Trebuchet MS" w:hAnsi="Trebuchet MS" w:cs="Arial"/>
          <w:bCs/>
          <w:i/>
          <w:color w:val="333333"/>
        </w:rPr>
        <w:t>15.</w:t>
      </w:r>
      <w:r>
        <w:rPr>
          <w:rFonts w:ascii="Trebuchet MS" w:hAnsi="Trebuchet MS" w:cs="Arial"/>
          <w:bCs/>
          <w:i/>
          <w:color w:val="333333"/>
        </w:rPr>
        <w:t>2</w:t>
      </w:r>
      <w:r w:rsidRPr="00BF7A30">
        <w:rPr>
          <w:rFonts w:ascii="Trebuchet MS" w:hAnsi="Trebuchet MS" w:cs="Arial"/>
          <w:bCs/>
          <w:i/>
          <w:color w:val="333333"/>
        </w:rPr>
        <w:t xml:space="preserve"> – </w:t>
      </w:r>
      <w:proofErr w:type="spellStart"/>
      <w:r w:rsidRPr="002E1E32">
        <w:rPr>
          <w:rFonts w:ascii="Trebuchet MS" w:hAnsi="Trebuchet MS" w:cs="Arial"/>
          <w:bCs/>
          <w:color w:val="333333"/>
        </w:rPr>
        <w:t>Intensitatea</w:t>
      </w:r>
      <w:proofErr w:type="spellEnd"/>
      <w:r w:rsidRPr="002E1E32">
        <w:rPr>
          <w:rFonts w:ascii="Trebuchet MS" w:hAnsi="Trebuchet MS" w:cs="Arial"/>
          <w:bCs/>
          <w:color w:val="333333"/>
        </w:rPr>
        <w:t xml:space="preserve"> </w:t>
      </w:r>
      <w:proofErr w:type="spellStart"/>
      <w:r w:rsidRPr="002E1E32">
        <w:rPr>
          <w:rFonts w:ascii="Trebuchet MS" w:hAnsi="Trebuchet MS" w:cs="Arial"/>
          <w:bCs/>
          <w:color w:val="333333"/>
        </w:rPr>
        <w:t>sprijinului</w:t>
      </w:r>
      <w:proofErr w:type="spellEnd"/>
      <w:r w:rsidRPr="002E1E32">
        <w:rPr>
          <w:rFonts w:ascii="Trebuchet MS" w:hAnsi="Trebuchet MS" w:cs="Arial"/>
          <w:bCs/>
          <w:color w:val="333333"/>
        </w:rPr>
        <w:t xml:space="preserve"> </w:t>
      </w:r>
      <w:proofErr w:type="spellStart"/>
      <w:r w:rsidRPr="002E1E32">
        <w:rPr>
          <w:rFonts w:ascii="Trebuchet MS" w:hAnsi="Trebuchet MS" w:cs="Arial"/>
          <w:bCs/>
          <w:color w:val="333333"/>
        </w:rPr>
        <w:t>acordata</w:t>
      </w:r>
      <w:proofErr w:type="spellEnd"/>
      <w:r w:rsidRPr="002E1E32">
        <w:rPr>
          <w:rFonts w:ascii="Trebuchet MS" w:hAnsi="Trebuchet MS" w:cs="Arial"/>
          <w:bCs/>
          <w:color w:val="333333"/>
        </w:rPr>
        <w:t xml:space="preserve"> </w:t>
      </w:r>
      <w:proofErr w:type="spellStart"/>
      <w:r w:rsidRPr="002E1E32">
        <w:rPr>
          <w:rFonts w:ascii="Trebuchet MS" w:hAnsi="Trebuchet MS" w:cs="Arial"/>
          <w:bCs/>
          <w:color w:val="333333"/>
        </w:rPr>
        <w:t>pentru</w:t>
      </w:r>
      <w:proofErr w:type="spellEnd"/>
      <w:r w:rsidRPr="002E1E32">
        <w:rPr>
          <w:rFonts w:ascii="Trebuchet MS" w:hAnsi="Trebuchet MS" w:cs="Arial"/>
          <w:bCs/>
          <w:color w:val="333333"/>
        </w:rPr>
        <w:t xml:space="preserve"> </w:t>
      </w:r>
      <w:proofErr w:type="spellStart"/>
      <w:r w:rsidRPr="002E1E32">
        <w:rPr>
          <w:rFonts w:ascii="Trebuchet MS" w:hAnsi="Trebuchet MS" w:cs="Arial"/>
          <w:bCs/>
          <w:color w:val="333333"/>
        </w:rPr>
        <w:t>investitii</w:t>
      </w:r>
      <w:proofErr w:type="spellEnd"/>
      <w:r w:rsidRPr="002E1E32">
        <w:rPr>
          <w:rFonts w:ascii="Trebuchet MS" w:hAnsi="Trebuchet MS" w:cs="Arial"/>
          <w:bCs/>
          <w:color w:val="333333"/>
        </w:rPr>
        <w:t xml:space="preserve"> </w:t>
      </w:r>
      <w:proofErr w:type="spellStart"/>
      <w:r w:rsidRPr="002E1E32">
        <w:rPr>
          <w:rFonts w:ascii="Trebuchet MS" w:hAnsi="Trebuchet MS" w:cs="Arial"/>
          <w:bCs/>
          <w:color w:val="333333"/>
        </w:rPr>
        <w:t>initiale</w:t>
      </w:r>
      <w:proofErr w:type="spellEnd"/>
      <w:r w:rsidRPr="002E1E32">
        <w:rPr>
          <w:rFonts w:ascii="Trebuchet MS" w:hAnsi="Trebuchet MS" w:cs="Arial"/>
          <w:bCs/>
          <w:color w:val="333333"/>
        </w:rPr>
        <w:t xml:space="preserve"> din </w:t>
      </w:r>
      <w:proofErr w:type="spellStart"/>
      <w:r w:rsidRPr="002E1E32">
        <w:rPr>
          <w:rFonts w:ascii="Trebuchet MS" w:hAnsi="Trebuchet MS" w:cs="Arial"/>
          <w:bCs/>
          <w:color w:val="333333"/>
        </w:rPr>
        <w:t>zonele</w:t>
      </w:r>
      <w:proofErr w:type="spellEnd"/>
      <w:r w:rsidRPr="002E1E32">
        <w:rPr>
          <w:rFonts w:ascii="Trebuchet MS" w:hAnsi="Trebuchet MS" w:cs="Arial"/>
          <w:bCs/>
          <w:color w:val="333333"/>
        </w:rPr>
        <w:t xml:space="preserve"> de tip „</w:t>
      </w:r>
      <w:r>
        <w:rPr>
          <w:rFonts w:ascii="Trebuchet MS" w:hAnsi="Trebuchet MS" w:cs="Arial"/>
          <w:bCs/>
          <w:color w:val="333333"/>
        </w:rPr>
        <w:t>c</w:t>
      </w:r>
      <w:r w:rsidRPr="002E1E32">
        <w:rPr>
          <w:rFonts w:ascii="Trebuchet MS" w:hAnsi="Trebuchet MS" w:cs="Arial"/>
          <w:bCs/>
          <w:color w:val="333333"/>
        </w:rPr>
        <w:t>”</w:t>
      </w:r>
    </w:p>
    <w:p w14:paraId="43259FD9" w14:textId="77777777" w:rsidR="00A91D7D" w:rsidRDefault="00A91D7D" w:rsidP="00FF111E">
      <w:pPr>
        <w:spacing w:after="0" w:line="276" w:lineRule="auto"/>
        <w:jc w:val="both"/>
        <w:outlineLvl w:val="3"/>
        <w:rPr>
          <w:rFonts w:ascii="Trebuchet MS" w:eastAsia="Times New Roman" w:hAnsi="Trebuchet MS" w:cs="Arial"/>
          <w:b/>
          <w:bCs/>
          <w:color w:val="333333"/>
          <w:lang w:val="ro-RO" w:eastAsia="ro-RO"/>
        </w:rPr>
      </w:pPr>
    </w:p>
    <w:p w14:paraId="73BC5AA9" w14:textId="4D3D48FB" w:rsidR="00FF111E" w:rsidRPr="00D53EAB" w:rsidRDefault="00FF111E" w:rsidP="00FF111E">
      <w:pPr>
        <w:spacing w:after="0" w:line="276" w:lineRule="auto"/>
        <w:jc w:val="both"/>
        <w:outlineLvl w:val="3"/>
        <w:rPr>
          <w:rFonts w:ascii="Trebuchet MS" w:eastAsia="Times New Roman" w:hAnsi="Trebuchet MS" w:cs="Arial"/>
          <w:b/>
          <w:bCs/>
          <w:color w:val="333333"/>
          <w:lang w:val="ro-RO" w:eastAsia="ro-RO"/>
        </w:rPr>
      </w:pPr>
      <w:bookmarkStart w:id="0" w:name="_GoBack"/>
      <w:bookmarkEnd w:id="0"/>
      <w:r w:rsidRPr="00D53EAB">
        <w:rPr>
          <w:rFonts w:ascii="Trebuchet MS" w:eastAsia="Times New Roman" w:hAnsi="Trebuchet MS" w:cs="Arial"/>
          <w:b/>
          <w:bCs/>
          <w:color w:val="333333"/>
          <w:lang w:val="ro-RO" w:eastAsia="ro-RO"/>
        </w:rPr>
        <w:t>INTENSITĂȚI APLICABILE AJUTOARELOR REGIONALE conform Hărții ajutoarelor regionale conform Hotărârii Guvernului nr. 311/2022, cu modificările ulterioare</w:t>
      </w:r>
    </w:p>
    <w:p w14:paraId="1BEF0719" w14:textId="77777777" w:rsidR="00FF111E" w:rsidRPr="00D53EAB" w:rsidRDefault="00FF111E" w:rsidP="00FF111E">
      <w:pPr>
        <w:spacing w:after="0" w:line="276" w:lineRule="auto"/>
        <w:jc w:val="both"/>
        <w:outlineLvl w:val="3"/>
        <w:rPr>
          <w:rFonts w:ascii="Trebuchet MS" w:eastAsia="Times New Roman" w:hAnsi="Trebuchet MS" w:cs="Arial"/>
          <w:b/>
          <w:bCs/>
          <w:color w:val="333333"/>
          <w:lang w:val="ro-RO" w:eastAsia="ro-RO"/>
        </w:rPr>
      </w:pPr>
    </w:p>
    <w:p w14:paraId="6A267715" w14:textId="77777777" w:rsidR="00A91D7D" w:rsidRPr="00A91D7D" w:rsidRDefault="00A91D7D" w:rsidP="00A91D7D">
      <w:pPr>
        <w:keepNext/>
        <w:keepLines/>
        <w:spacing w:after="0" w:line="276" w:lineRule="auto"/>
        <w:ind w:left="-5" w:hanging="10"/>
        <w:outlineLvl w:val="0"/>
        <w:rPr>
          <w:rFonts w:ascii="Trebuchet MS" w:eastAsia="Times New Roman" w:hAnsi="Trebuchet MS" w:cs="Arial"/>
          <w:b/>
          <w:color w:val="000000"/>
          <w:lang w:eastAsia="en-GB"/>
        </w:rPr>
      </w:pPr>
      <w:proofErr w:type="spellStart"/>
      <w:r w:rsidRPr="00A91D7D">
        <w:rPr>
          <w:rFonts w:ascii="Trebuchet MS" w:eastAsia="Times New Roman" w:hAnsi="Trebuchet MS" w:cs="Arial"/>
          <w:b/>
          <w:color w:val="000000"/>
          <w:lang w:eastAsia="en-GB"/>
        </w:rPr>
        <w:t>Zonele</w:t>
      </w:r>
      <w:proofErr w:type="spellEnd"/>
      <w:r w:rsidRPr="00A91D7D">
        <w:rPr>
          <w:rFonts w:ascii="Trebuchet MS" w:eastAsia="Times New Roman" w:hAnsi="Trebuchet MS" w:cs="Arial"/>
          <w:b/>
          <w:color w:val="000000"/>
          <w:lang w:eastAsia="en-GB"/>
        </w:rPr>
        <w:t xml:space="preserve"> „c” care nu sunt </w:t>
      </w:r>
      <w:proofErr w:type="spellStart"/>
      <w:r w:rsidRPr="00A91D7D">
        <w:rPr>
          <w:rFonts w:ascii="Trebuchet MS" w:eastAsia="Times New Roman" w:hAnsi="Trebuchet MS" w:cs="Arial"/>
          <w:b/>
          <w:color w:val="000000"/>
          <w:lang w:eastAsia="en-GB"/>
        </w:rPr>
        <w:t>predefinite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</w:p>
    <w:tbl>
      <w:tblPr>
        <w:tblStyle w:val="TableGrid"/>
        <w:tblW w:w="9128" w:type="dxa"/>
        <w:tblInd w:w="-28" w:type="dxa"/>
        <w:tblCellMar>
          <w:top w:w="109" w:type="dxa"/>
          <w:left w:w="26" w:type="dxa"/>
        </w:tblCellMar>
        <w:tblLook w:val="04A0" w:firstRow="1" w:lastRow="0" w:firstColumn="1" w:lastColumn="0" w:noHBand="0" w:noVBand="1"/>
      </w:tblPr>
      <w:tblGrid>
        <w:gridCol w:w="943"/>
        <w:gridCol w:w="3192"/>
        <w:gridCol w:w="1440"/>
        <w:gridCol w:w="31"/>
        <w:gridCol w:w="1468"/>
        <w:gridCol w:w="59"/>
        <w:gridCol w:w="1995"/>
      </w:tblGrid>
      <w:tr w:rsidR="00A91D7D" w:rsidRPr="00A91D7D" w14:paraId="51C4DBB9" w14:textId="77777777" w:rsidTr="002E1E32">
        <w:trPr>
          <w:trHeight w:val="751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5E0F" w14:textId="77777777" w:rsidR="00A91D7D" w:rsidRPr="00A91D7D" w:rsidRDefault="00A91D7D" w:rsidP="00A91D7D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Codul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</w:p>
          <w:p w14:paraId="5C2C41D6" w14:textId="77777777" w:rsidR="00A91D7D" w:rsidRPr="00A91D7D" w:rsidRDefault="00A91D7D" w:rsidP="00A91D7D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NUTS 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8729" w14:textId="77777777" w:rsidR="00A91D7D" w:rsidRPr="00A91D7D" w:rsidRDefault="00A91D7D" w:rsidP="00A91D7D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Denumirea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regiunii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NUTS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BF042" w14:textId="77777777" w:rsidR="00A91D7D" w:rsidRPr="00A91D7D" w:rsidRDefault="00A91D7D" w:rsidP="00A91D7D">
            <w:pPr>
              <w:spacing w:line="276" w:lineRule="auto"/>
              <w:ind w:left="17" w:right="1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Intensitatea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maximă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gram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a</w:t>
            </w:r>
            <w:proofErr w:type="gram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ajutorului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</w:p>
          <w:p w14:paraId="469CEEF0" w14:textId="77777777" w:rsidR="00A91D7D" w:rsidRPr="00A91D7D" w:rsidRDefault="00A91D7D" w:rsidP="00A91D7D">
            <w:pPr>
              <w:spacing w:line="276" w:lineRule="auto"/>
              <w:ind w:right="2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(</w:t>
            </w: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întreprinderi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mari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)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75AA9" w14:textId="77777777" w:rsidR="00A91D7D" w:rsidRPr="00A91D7D" w:rsidRDefault="00A91D7D" w:rsidP="00A91D7D">
            <w:pPr>
              <w:spacing w:line="276" w:lineRule="auto"/>
              <w:ind w:right="2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Intensitatea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maximă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gram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a</w:t>
            </w:r>
            <w:proofErr w:type="gram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ajutorului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(</w:t>
            </w: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întreprinderi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mijlocii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)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DC755" w14:textId="77777777" w:rsidR="00A91D7D" w:rsidRPr="00A91D7D" w:rsidRDefault="00A91D7D" w:rsidP="00A91D7D">
            <w:pPr>
              <w:spacing w:line="276" w:lineRule="auto"/>
              <w:ind w:right="2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Intensitatea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maximă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gram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a</w:t>
            </w:r>
            <w:proofErr w:type="gram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ajutorului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(</w:t>
            </w: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întreprinderi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mici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inclusiv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microîntreprinderi</w:t>
            </w:r>
            <w:proofErr w:type="spellEnd"/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>)</w:t>
            </w:r>
          </w:p>
        </w:tc>
      </w:tr>
      <w:tr w:rsidR="00A91D7D" w:rsidRPr="00A91D7D" w14:paraId="599E5065" w14:textId="77777777" w:rsidTr="002E1E32">
        <w:trPr>
          <w:trHeight w:val="3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2BDE" w14:textId="77777777" w:rsidR="00A91D7D" w:rsidRPr="00A91D7D" w:rsidRDefault="00A91D7D" w:rsidP="00A91D7D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8716" w14:textId="77777777" w:rsidR="00A91D7D" w:rsidRPr="00A91D7D" w:rsidRDefault="00A91D7D" w:rsidP="00A91D7D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53F9" w14:textId="77777777" w:rsidR="00A91D7D" w:rsidRPr="00A91D7D" w:rsidRDefault="00A91D7D" w:rsidP="00A91D7D">
            <w:pPr>
              <w:spacing w:line="276" w:lineRule="auto"/>
              <w:ind w:right="2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1.1.2022 – 31.12.2027 </w:t>
            </w:r>
          </w:p>
        </w:tc>
      </w:tr>
      <w:tr w:rsidR="00A91D7D" w:rsidRPr="00A91D7D" w14:paraId="15D9B6D1" w14:textId="77777777" w:rsidTr="002E1E32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23D6" w14:textId="77777777" w:rsidR="00A91D7D" w:rsidRPr="00A91D7D" w:rsidRDefault="00A91D7D" w:rsidP="00A91D7D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RO322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E86DC" w14:textId="77777777" w:rsidR="00A91D7D" w:rsidRPr="00A91D7D" w:rsidRDefault="00A91D7D" w:rsidP="00A91D7D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Ilfov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(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parțial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>)</w:t>
            </w:r>
            <w:r w:rsidRPr="00A91D7D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FD86FA7" w14:textId="77777777" w:rsidR="00A91D7D" w:rsidRPr="00A91D7D" w:rsidRDefault="00A91D7D" w:rsidP="00A91D7D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402952" w14:textId="77777777" w:rsidR="00A91D7D" w:rsidRPr="00A91D7D" w:rsidRDefault="00A91D7D" w:rsidP="00A91D7D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DE57D" w14:textId="77777777" w:rsidR="00A91D7D" w:rsidRPr="00A91D7D" w:rsidRDefault="00A91D7D" w:rsidP="00A91D7D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</w:tr>
      <w:tr w:rsidR="00A91D7D" w:rsidRPr="00A91D7D" w14:paraId="33B8C4AE" w14:textId="77777777" w:rsidTr="002E1E32">
        <w:trPr>
          <w:trHeight w:val="112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3190" w14:textId="77777777" w:rsidR="00A91D7D" w:rsidRPr="00A91D7D" w:rsidRDefault="00A91D7D" w:rsidP="00A91D7D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3FA6" w14:textId="77777777" w:rsidR="00A91D7D" w:rsidRPr="00A91D7D" w:rsidRDefault="00A91D7D" w:rsidP="00A91D7D">
            <w:pPr>
              <w:spacing w:line="276" w:lineRule="auto"/>
              <w:ind w:right="21"/>
              <w:jc w:val="both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Numai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următoarele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părți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din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regiunea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NUTS 3 sunt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eligibile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ca zone „c” care nu sunt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predefinite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: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Ciorogârla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Domnești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Clinceni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Cornetu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Bragadiru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Dărăști-Ilfov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Jilava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1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Decembrie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Copăceni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Vidra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și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Berceni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79115" w14:textId="77777777" w:rsidR="00A91D7D" w:rsidRPr="00A91D7D" w:rsidRDefault="00A91D7D" w:rsidP="00A91D7D">
            <w:pPr>
              <w:spacing w:line="276" w:lineRule="auto"/>
              <w:ind w:right="2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A91D7D">
              <w:rPr>
                <w:rFonts w:ascii="Trebuchet MS" w:eastAsia="Times New Roman" w:hAnsi="Trebuchet MS" w:cs="Arial"/>
                <w:color w:val="000000"/>
              </w:rPr>
              <w:t>35 %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759AF0" w14:textId="77777777" w:rsidR="00A91D7D" w:rsidRPr="00A91D7D" w:rsidRDefault="00A91D7D" w:rsidP="00A91D7D">
            <w:pPr>
              <w:spacing w:line="276" w:lineRule="auto"/>
              <w:ind w:right="2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A91D7D">
              <w:rPr>
                <w:rFonts w:ascii="Trebuchet MS" w:eastAsia="Times New Roman" w:hAnsi="Trebuchet MS" w:cs="Arial"/>
                <w:color w:val="000000"/>
              </w:rPr>
              <w:t>45%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C5A787" w14:textId="77777777" w:rsidR="00A91D7D" w:rsidRPr="00A91D7D" w:rsidRDefault="00A91D7D" w:rsidP="00A91D7D">
            <w:pPr>
              <w:spacing w:line="276" w:lineRule="auto"/>
              <w:ind w:right="2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A91D7D">
              <w:rPr>
                <w:rFonts w:ascii="Trebuchet MS" w:eastAsia="Times New Roman" w:hAnsi="Trebuchet MS" w:cs="Arial"/>
                <w:color w:val="000000"/>
              </w:rPr>
              <w:t>55%</w:t>
            </w:r>
          </w:p>
        </w:tc>
      </w:tr>
      <w:tr w:rsidR="00A91D7D" w:rsidRPr="00A91D7D" w14:paraId="625F6F59" w14:textId="77777777" w:rsidTr="002E1E32">
        <w:trPr>
          <w:trHeight w:val="11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0A7F" w14:textId="77777777" w:rsidR="00A91D7D" w:rsidRPr="00A91D7D" w:rsidRDefault="00A91D7D" w:rsidP="00A91D7D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8851" w14:textId="77777777" w:rsidR="00A91D7D" w:rsidRPr="00A91D7D" w:rsidRDefault="00A91D7D" w:rsidP="00A91D7D">
            <w:pPr>
              <w:spacing w:line="276" w:lineRule="auto"/>
              <w:ind w:right="27"/>
              <w:jc w:val="both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Numai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următoarele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părți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din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regiunea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NUTS 3 sunt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eligibile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ca zone „c” care nu sunt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predefinite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: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Periș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Ciolpani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Snagov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Gruiu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Nuci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Grădiștea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Petrăchioaia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Dascălu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Moara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Vlăsiei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Balotești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Corbeanca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Buftea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Chitila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Glina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Cernica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,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Dobroești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și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  <w:proofErr w:type="spellStart"/>
            <w:r w:rsidRPr="00A91D7D">
              <w:rPr>
                <w:rFonts w:ascii="Trebuchet MS" w:eastAsia="Times New Roman" w:hAnsi="Trebuchet MS" w:cs="Arial"/>
                <w:color w:val="000000"/>
              </w:rPr>
              <w:t>Pantelimon</w:t>
            </w:r>
            <w:proofErr w:type="spellEnd"/>
            <w:r w:rsidRPr="00A91D7D">
              <w:rPr>
                <w:rFonts w:ascii="Trebuchet MS" w:eastAsia="Times New Roman" w:hAnsi="Trebuchet MS" w:cs="Arial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B97FE" w14:textId="77777777" w:rsidR="00A91D7D" w:rsidRPr="00A91D7D" w:rsidRDefault="00A91D7D" w:rsidP="00A91D7D">
            <w:pPr>
              <w:spacing w:line="276" w:lineRule="auto"/>
              <w:ind w:right="2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A91D7D">
              <w:rPr>
                <w:rFonts w:ascii="Trebuchet MS" w:eastAsia="Times New Roman" w:hAnsi="Trebuchet MS" w:cs="Arial"/>
                <w:color w:val="000000"/>
              </w:rPr>
              <w:t>45 %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2BBD2" w14:textId="77777777" w:rsidR="00A91D7D" w:rsidRPr="00A91D7D" w:rsidRDefault="00A91D7D" w:rsidP="00A91D7D">
            <w:pPr>
              <w:spacing w:line="276" w:lineRule="auto"/>
              <w:ind w:right="2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A91D7D">
              <w:rPr>
                <w:rFonts w:ascii="Trebuchet MS" w:eastAsia="Times New Roman" w:hAnsi="Trebuchet MS" w:cs="Arial"/>
                <w:color w:val="000000"/>
              </w:rPr>
              <w:t>55%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C4B3E" w14:textId="77777777" w:rsidR="00A91D7D" w:rsidRPr="00A91D7D" w:rsidRDefault="00A91D7D" w:rsidP="00A91D7D">
            <w:pPr>
              <w:spacing w:line="276" w:lineRule="auto"/>
              <w:ind w:right="2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A91D7D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</w:tbl>
    <w:p w14:paraId="023FA3C5" w14:textId="77777777" w:rsidR="00A91D7D" w:rsidRPr="00A91D7D" w:rsidRDefault="00A91D7D" w:rsidP="00A91D7D">
      <w:pPr>
        <w:spacing w:after="0" w:line="276" w:lineRule="auto"/>
        <w:jc w:val="both"/>
        <w:rPr>
          <w:rFonts w:ascii="Trebuchet MS" w:eastAsia="Times New Roman" w:hAnsi="Trebuchet MS" w:cs="Arial"/>
          <w:color w:val="000000"/>
          <w:lang w:eastAsia="en-GB"/>
        </w:rPr>
      </w:pPr>
    </w:p>
    <w:p w14:paraId="5E7A6866" w14:textId="77777777" w:rsidR="00A91D7D" w:rsidRPr="00A91D7D" w:rsidRDefault="00A91D7D" w:rsidP="00A91D7D">
      <w:pPr>
        <w:spacing w:line="276" w:lineRule="auto"/>
        <w:rPr>
          <w:rFonts w:ascii="Trebuchet MS" w:eastAsiaTheme="minorEastAsia" w:hAnsi="Trebuchet MS" w:cs="Arial"/>
          <w:lang w:eastAsia="en-GB"/>
        </w:rPr>
      </w:pPr>
      <w:r w:rsidRPr="00A91D7D">
        <w:rPr>
          <w:rFonts w:ascii="Trebuchet MS" w:eastAsiaTheme="minorEastAsia" w:hAnsi="Trebuchet MS" w:cs="Arial"/>
          <w:lang w:eastAsia="en-GB"/>
        </w:rPr>
        <w:t>Nota:</w:t>
      </w:r>
    </w:p>
    <w:p w14:paraId="1903F4DD" w14:textId="77777777" w:rsidR="00A91D7D" w:rsidRPr="00A91D7D" w:rsidRDefault="00A91D7D" w:rsidP="00A91D7D">
      <w:pPr>
        <w:spacing w:after="0" w:line="276" w:lineRule="auto"/>
        <w:jc w:val="both"/>
        <w:rPr>
          <w:rFonts w:ascii="Trebuchet MS" w:eastAsia="Times New Roman" w:hAnsi="Trebuchet MS" w:cs="Arial"/>
          <w:color w:val="000000"/>
          <w:lang w:eastAsia="en-GB"/>
        </w:rPr>
      </w:pP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Intensităţile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maxime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majorate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ale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ajutorului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pentru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întreprinderile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mari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şi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IMM-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uri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, </w:t>
      </w:r>
      <w:r w:rsidRPr="00A91D7D">
        <w:rPr>
          <w:rFonts w:ascii="Trebuchet MS" w:eastAsia="Times New Roman" w:hAnsi="Trebuchet MS" w:cs="Arial"/>
          <w:color w:val="000000"/>
          <w:lang w:val="ro-RO" w:eastAsia="en-GB"/>
        </w:rPr>
        <w:t>î</w:t>
      </w:r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n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conformitate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cu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H</w:t>
      </w:r>
      <w:r w:rsidRPr="00A91D7D">
        <w:rPr>
          <w:rFonts w:ascii="Trebuchet MS" w:eastAsia="Times New Roman" w:hAnsi="Trebuchet MS" w:cs="Arial"/>
          <w:color w:val="000000"/>
          <w:lang w:eastAsia="en-GB"/>
        </w:rPr>
        <w:t>otă</w:t>
      </w:r>
      <w:r w:rsidRPr="00A91D7D">
        <w:rPr>
          <w:rFonts w:ascii="Trebuchet MS" w:eastAsia="Times New Roman" w:hAnsi="Trebuchet MS" w:cs="Arial"/>
          <w:color w:val="000000"/>
          <w:lang w:eastAsia="en-GB"/>
        </w:rPr>
        <w:t>rârea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G</w:t>
      </w:r>
      <w:r w:rsidRPr="00A91D7D">
        <w:rPr>
          <w:rFonts w:ascii="Trebuchet MS" w:eastAsia="Times New Roman" w:hAnsi="Trebuchet MS" w:cs="Arial"/>
          <w:color w:val="000000"/>
          <w:lang w:eastAsia="en-GB"/>
        </w:rPr>
        <w:t>uvernului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nr. 311/ 2022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privind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intensitatea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maximă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a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ajutorului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de stat regional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în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perioada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2022-2027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pentru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investiţii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iniţiale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, cu </w:t>
      </w:r>
      <w:proofErr w:type="spellStart"/>
      <w:proofErr w:type="gramStart"/>
      <w:r w:rsidRPr="00A91D7D">
        <w:rPr>
          <w:rFonts w:ascii="Trebuchet MS" w:eastAsia="Times New Roman" w:hAnsi="Trebuchet MS" w:cs="Arial"/>
          <w:color w:val="000000"/>
          <w:lang w:eastAsia="en-GB"/>
        </w:rPr>
        <w:t>modificările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ulterioare</w:t>
      </w:r>
      <w:proofErr w:type="spellEnd"/>
      <w:proofErr w:type="gram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, nu pot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depăşi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65% din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costurile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eligibile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ale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proiectului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de </w:t>
      </w:r>
      <w:proofErr w:type="spellStart"/>
      <w:r w:rsidRPr="00A91D7D">
        <w:rPr>
          <w:rFonts w:ascii="Trebuchet MS" w:eastAsia="Times New Roman" w:hAnsi="Trebuchet MS" w:cs="Arial"/>
          <w:color w:val="000000"/>
          <w:lang w:eastAsia="en-GB"/>
        </w:rPr>
        <w:t>investiţie</w:t>
      </w:r>
      <w:proofErr w:type="spellEnd"/>
      <w:r w:rsidRPr="00A91D7D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r w:rsidRPr="00A91D7D">
        <w:rPr>
          <w:rFonts w:ascii="Trebuchet MS" w:eastAsia="Times New Roman" w:hAnsi="Trebuchet MS" w:cs="Arial"/>
          <w:color w:val="000000"/>
          <w:lang w:val="ro-RO" w:eastAsia="en-GB"/>
        </w:rPr>
        <w:t xml:space="preserve">în conformitate cu </w:t>
      </w:r>
      <w:r w:rsidRPr="00A91D7D">
        <w:rPr>
          <w:rFonts w:ascii="Trebuchet MS" w:eastAsia="Times New Roman" w:hAnsi="Trebuchet MS" w:cs="Arial"/>
          <w:color w:val="000000"/>
          <w:lang w:val="ro-RO" w:eastAsia="en-GB"/>
        </w:rPr>
        <w:t xml:space="preserve">Regulamentul (UE) </w:t>
      </w:r>
      <w:r w:rsidRPr="00A91D7D">
        <w:rPr>
          <w:rFonts w:ascii="Trebuchet MS" w:eastAsia="Times New Roman" w:hAnsi="Trebuchet MS" w:cs="Arial"/>
          <w:color w:val="000000"/>
          <w:lang w:eastAsia="en-GB"/>
        </w:rPr>
        <w:t>2021</w:t>
      </w:r>
      <w:r w:rsidRPr="00A91D7D">
        <w:rPr>
          <w:rFonts w:ascii="Trebuchet MS" w:eastAsia="Times New Roman" w:hAnsi="Trebuchet MS" w:cs="Arial"/>
          <w:color w:val="000000"/>
          <w:lang w:eastAsia="en-GB"/>
        </w:rPr>
        <w:t>/2.115</w:t>
      </w:r>
      <w:r w:rsidRPr="00A91D7D">
        <w:rPr>
          <w:rFonts w:ascii="Trebuchet MS" w:eastAsia="Times New Roman" w:hAnsi="Trebuchet MS" w:cs="Arial"/>
          <w:color w:val="000000"/>
          <w:lang w:eastAsia="en-GB"/>
        </w:rPr>
        <w:t>.</w:t>
      </w:r>
    </w:p>
    <w:p w14:paraId="47D58AAA" w14:textId="77777777" w:rsidR="00A91D7D" w:rsidRPr="00A91D7D" w:rsidRDefault="00A91D7D" w:rsidP="00A91D7D">
      <w:pPr>
        <w:spacing w:line="276" w:lineRule="auto"/>
        <w:rPr>
          <w:rFonts w:ascii="Trebuchet MS" w:eastAsiaTheme="minorEastAsia" w:hAnsi="Trebuchet MS" w:cs="Arial"/>
          <w:lang w:eastAsia="en-GB"/>
        </w:rPr>
      </w:pPr>
    </w:p>
    <w:p w14:paraId="65B4DCD5" w14:textId="2E99617A" w:rsidR="00AD547B" w:rsidRDefault="00A91D7D" w:rsidP="00A91D7D">
      <w:proofErr w:type="spellStart"/>
      <w:r w:rsidRPr="00A91D7D">
        <w:rPr>
          <w:rFonts w:ascii="Trebuchet MS" w:eastAsiaTheme="minorEastAsia" w:hAnsi="Trebuchet MS" w:cs="Arial"/>
          <w:lang w:eastAsia="en-GB"/>
        </w:rPr>
        <w:t>Intensitățile</w:t>
      </w:r>
      <w:proofErr w:type="spellEnd"/>
      <w:r w:rsidRPr="00A91D7D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A91D7D">
        <w:rPr>
          <w:rFonts w:ascii="Trebuchet MS" w:eastAsiaTheme="minorEastAsia" w:hAnsi="Trebuchet MS" w:cs="Arial"/>
          <w:lang w:eastAsia="en-GB"/>
        </w:rPr>
        <w:t>maxime</w:t>
      </w:r>
      <w:proofErr w:type="spellEnd"/>
      <w:r w:rsidRPr="00A91D7D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A91D7D">
        <w:rPr>
          <w:rFonts w:ascii="Trebuchet MS" w:eastAsiaTheme="minorEastAsia" w:hAnsi="Trebuchet MS" w:cs="Arial"/>
          <w:lang w:eastAsia="en-GB"/>
        </w:rPr>
        <w:t>aplicabile</w:t>
      </w:r>
      <w:proofErr w:type="spellEnd"/>
      <w:r w:rsidRPr="00A91D7D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A91D7D">
        <w:rPr>
          <w:rFonts w:ascii="Trebuchet MS" w:eastAsiaTheme="minorEastAsia" w:hAnsi="Trebuchet MS" w:cs="Arial"/>
          <w:lang w:eastAsia="en-GB"/>
        </w:rPr>
        <w:t>în</w:t>
      </w:r>
      <w:proofErr w:type="spellEnd"/>
      <w:r w:rsidRPr="00A91D7D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A91D7D">
        <w:rPr>
          <w:rFonts w:ascii="Trebuchet MS" w:eastAsiaTheme="minorEastAsia" w:hAnsi="Trebuchet MS" w:cs="Arial"/>
          <w:lang w:eastAsia="en-GB"/>
        </w:rPr>
        <w:t>funcție</w:t>
      </w:r>
      <w:proofErr w:type="spellEnd"/>
      <w:r w:rsidRPr="00A91D7D">
        <w:rPr>
          <w:rFonts w:ascii="Trebuchet MS" w:eastAsiaTheme="minorEastAsia" w:hAnsi="Trebuchet MS" w:cs="Arial"/>
          <w:lang w:eastAsia="en-GB"/>
        </w:rPr>
        <w:t xml:space="preserve"> de </w:t>
      </w:r>
      <w:proofErr w:type="spellStart"/>
      <w:r w:rsidRPr="00A91D7D">
        <w:rPr>
          <w:rFonts w:ascii="Trebuchet MS" w:eastAsiaTheme="minorEastAsia" w:hAnsi="Trebuchet MS" w:cs="Arial"/>
          <w:lang w:eastAsia="en-GB"/>
        </w:rPr>
        <w:t>județul</w:t>
      </w:r>
      <w:proofErr w:type="spellEnd"/>
      <w:r w:rsidRPr="00A91D7D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A91D7D">
        <w:rPr>
          <w:rFonts w:ascii="Trebuchet MS" w:eastAsiaTheme="minorEastAsia" w:hAnsi="Trebuchet MS" w:cs="Arial"/>
          <w:lang w:eastAsia="en-GB"/>
        </w:rPr>
        <w:t>în</w:t>
      </w:r>
      <w:proofErr w:type="spellEnd"/>
      <w:r w:rsidRPr="00A91D7D">
        <w:rPr>
          <w:rFonts w:ascii="Trebuchet MS" w:eastAsiaTheme="minorEastAsia" w:hAnsi="Trebuchet MS" w:cs="Arial"/>
          <w:lang w:eastAsia="en-GB"/>
        </w:rPr>
        <w:t xml:space="preserve"> care se </w:t>
      </w:r>
      <w:proofErr w:type="spellStart"/>
      <w:r w:rsidRPr="00A91D7D">
        <w:rPr>
          <w:rFonts w:ascii="Trebuchet MS" w:eastAsiaTheme="minorEastAsia" w:hAnsi="Trebuchet MS" w:cs="Arial"/>
          <w:lang w:eastAsia="en-GB"/>
        </w:rPr>
        <w:t>realizează</w:t>
      </w:r>
      <w:proofErr w:type="spellEnd"/>
      <w:r w:rsidRPr="00A91D7D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A91D7D">
        <w:rPr>
          <w:rFonts w:ascii="Trebuchet MS" w:eastAsiaTheme="minorEastAsia" w:hAnsi="Trebuchet MS" w:cs="Arial"/>
          <w:lang w:eastAsia="en-GB"/>
        </w:rPr>
        <w:t>implementarea</w:t>
      </w:r>
      <w:proofErr w:type="spellEnd"/>
      <w:r w:rsidRPr="00A91D7D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A91D7D">
        <w:rPr>
          <w:rFonts w:ascii="Trebuchet MS" w:eastAsiaTheme="minorEastAsia" w:hAnsi="Trebuchet MS" w:cs="Arial"/>
          <w:lang w:eastAsia="en-GB"/>
        </w:rPr>
        <w:t>investiției</w:t>
      </w:r>
      <w:proofErr w:type="spellEnd"/>
      <w:r w:rsidRPr="00A91D7D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A91D7D">
        <w:rPr>
          <w:rFonts w:ascii="Trebuchet MS" w:eastAsiaTheme="minorEastAsia" w:hAnsi="Trebuchet MS" w:cs="Arial"/>
          <w:lang w:eastAsia="en-GB"/>
        </w:rPr>
        <w:t>inițiale</w:t>
      </w:r>
      <w:proofErr w:type="spellEnd"/>
      <w:r w:rsidRPr="00A91D7D">
        <w:rPr>
          <w:rFonts w:ascii="Trebuchet MS" w:eastAsiaTheme="minorEastAsia" w:hAnsi="Trebuchet MS" w:cs="Arial"/>
          <w:lang w:eastAsia="en-GB"/>
        </w:rPr>
        <w:t xml:space="preserve"> sunt </w:t>
      </w:r>
      <w:proofErr w:type="spellStart"/>
      <w:r w:rsidRPr="00A91D7D">
        <w:rPr>
          <w:rFonts w:ascii="Trebuchet MS" w:eastAsiaTheme="minorEastAsia" w:hAnsi="Trebuchet MS" w:cs="Arial"/>
          <w:lang w:eastAsia="en-GB"/>
        </w:rPr>
        <w:t>cele</w:t>
      </w:r>
      <w:proofErr w:type="spellEnd"/>
      <w:r w:rsidRPr="00A91D7D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A91D7D">
        <w:rPr>
          <w:rFonts w:ascii="Trebuchet MS" w:eastAsiaTheme="minorEastAsia" w:hAnsi="Trebuchet MS" w:cs="Arial"/>
          <w:lang w:eastAsia="en-GB"/>
        </w:rPr>
        <w:t>menţionate</w:t>
      </w:r>
      <w:proofErr w:type="spellEnd"/>
      <w:r w:rsidRPr="00A91D7D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A91D7D">
        <w:rPr>
          <w:rFonts w:ascii="Trebuchet MS" w:eastAsiaTheme="minorEastAsia" w:hAnsi="Trebuchet MS" w:cs="Arial"/>
          <w:lang w:eastAsia="en-GB"/>
        </w:rPr>
        <w:t>mai</w:t>
      </w:r>
      <w:proofErr w:type="spellEnd"/>
      <w:r w:rsidRPr="00A91D7D">
        <w:rPr>
          <w:rFonts w:ascii="Trebuchet MS" w:eastAsiaTheme="minorEastAsia" w:hAnsi="Trebuchet MS" w:cs="Arial"/>
          <w:lang w:eastAsia="en-GB"/>
        </w:rPr>
        <w:t xml:space="preserve"> sus</w:t>
      </w:r>
      <w:r>
        <w:rPr>
          <w:rFonts w:ascii="Trebuchet MS" w:eastAsiaTheme="minorEastAsia" w:hAnsi="Trebuchet MS" w:cs="Arial"/>
          <w:lang w:eastAsia="en-GB"/>
        </w:rPr>
        <w:t>.</w:t>
      </w:r>
    </w:p>
    <w:sectPr w:rsidR="00AD5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39"/>
    <w:rsid w:val="003E424C"/>
    <w:rsid w:val="00787829"/>
    <w:rsid w:val="00872539"/>
    <w:rsid w:val="00A91D7D"/>
    <w:rsid w:val="00B2716D"/>
    <w:rsid w:val="00D131B7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0DBE"/>
  <w15:chartTrackingRefBased/>
  <w15:docId w15:val="{782C4C82-8BB8-4B78-B29B-9692D8EB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91D7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SMI5</dc:creator>
  <cp:keywords/>
  <dc:description/>
  <cp:lastModifiedBy>SMI5</cp:lastModifiedBy>
  <cp:revision>3</cp:revision>
  <dcterms:created xsi:type="dcterms:W3CDTF">2024-06-18T12:23:00Z</dcterms:created>
  <dcterms:modified xsi:type="dcterms:W3CDTF">2024-06-18T12:25:00Z</dcterms:modified>
</cp:coreProperties>
</file>